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RT"/>
        <w:rPr>
          <w:sz w:val="22"/>
          <w:szCs w:val="22"/>
        </w:rPr>
      </w:pPr>
      <w:r>
        <w:rPr>
          <w:sz w:val="22"/>
          <w:szCs w:val="22"/>
        </w:rPr>
        <w:t>Na podlagi Odloka o proračunu Občine Vitanje za leto 2026 (Uradno glasilo slovenskih občin, št. 73/2025) in Pravilnika o dodelitvi proračunskih sredstev za namen pokroviteljstva v občini Vitanje (Uradno glasilo slovenskih občin, št. 25/2013) Občina Vitanje objavlja:</w:t>
      </w:r>
    </w:p>
    <w:p>
      <w:pPr>
        <w:pStyle w:val="RN"/>
        <w:rPr>
          <w:b/>
          <w:color w:val="auto"/>
          <w:sz w:val="22"/>
          <w:szCs w:val="22"/>
        </w:rPr>
      </w:pPr>
      <w:r>
        <w:rPr>
          <w:b/>
          <w:color w:val="auto"/>
          <w:sz w:val="22"/>
          <w:szCs w:val="22"/>
        </w:rPr>
        <w:t>Prvi javni poziv za dodelitev proračunskih sredstev za namen pokroviteljstva v občini Vitanje v letu 2026</w:t>
      </w:r>
    </w:p>
    <w:p>
      <w:pPr>
        <w:pStyle w:val="RT"/>
        <w:rPr>
          <w:b/>
          <w:sz w:val="22"/>
          <w:szCs w:val="22"/>
        </w:rPr>
      </w:pPr>
      <w:r>
        <w:rPr>
          <w:b/>
          <w:sz w:val="22"/>
          <w:szCs w:val="22"/>
        </w:rPr>
        <w:t>1. Predmet poziva</w:t>
      </w:r>
    </w:p>
    <w:p>
      <w:pPr>
        <w:pStyle w:val="RT"/>
        <w:rPr>
          <w:sz w:val="22"/>
          <w:szCs w:val="22"/>
        </w:rPr>
      </w:pPr>
      <w:r>
        <w:rPr>
          <w:sz w:val="22"/>
          <w:szCs w:val="22"/>
        </w:rPr>
        <w:t>Predmet poziva je sofinanciranje pokroviteljstva v občini Vitanje v prvem polletju 2026.</w:t>
      </w:r>
    </w:p>
    <w:p>
      <w:pPr>
        <w:pStyle w:val="RT"/>
        <w:rPr>
          <w:b/>
          <w:sz w:val="22"/>
          <w:szCs w:val="22"/>
        </w:rPr>
      </w:pPr>
      <w:r>
        <w:rPr>
          <w:b/>
          <w:sz w:val="22"/>
          <w:szCs w:val="22"/>
        </w:rPr>
        <w:t>2. Pogoji za sodelovanje na javnem pozivu</w:t>
      </w:r>
    </w:p>
    <w:p>
      <w:pPr>
        <w:pStyle w:val="RT"/>
        <w:rPr>
          <w:sz w:val="22"/>
          <w:szCs w:val="22"/>
        </w:rPr>
      </w:pPr>
      <w:r>
        <w:rPr>
          <w:sz w:val="22"/>
          <w:szCs w:val="22"/>
        </w:rPr>
        <w:t>Upravičenci:</w:t>
      </w:r>
    </w:p>
    <w:p>
      <w:pPr>
        <w:pStyle w:val="RT"/>
        <w:rPr>
          <w:sz w:val="22"/>
          <w:szCs w:val="22"/>
        </w:rPr>
      </w:pPr>
      <w:r>
        <w:rPr>
          <w:sz w:val="22"/>
          <w:szCs w:val="22"/>
        </w:rPr>
        <w:t>- pravne osebe s stalnim prebivališčem oziroma sedežem v občini,</w:t>
      </w:r>
    </w:p>
    <w:p>
      <w:pPr>
        <w:pStyle w:val="RT"/>
        <w:rPr>
          <w:sz w:val="22"/>
          <w:szCs w:val="22"/>
        </w:rPr>
      </w:pPr>
      <w:r>
        <w:rPr>
          <w:sz w:val="22"/>
          <w:szCs w:val="22"/>
        </w:rPr>
        <w:t>- pravne osebe s stalnim prebivališčem oziroma sedežem v drugi občini, če prireditev ali dejavnost organizirajo na območju občine,</w:t>
      </w:r>
    </w:p>
    <w:p>
      <w:pPr>
        <w:pStyle w:val="RT"/>
        <w:rPr>
          <w:sz w:val="22"/>
          <w:szCs w:val="22"/>
        </w:rPr>
      </w:pPr>
      <w:r>
        <w:rPr>
          <w:sz w:val="22"/>
          <w:szCs w:val="22"/>
        </w:rPr>
        <w:t>- pravne osebe s stalnim prebivališčem oziroma sedežem v drugi občini, če je njihova prireditev ali dejavnost, ki je organizirana izven občine, pomembna za občino.</w:t>
      </w:r>
    </w:p>
    <w:p>
      <w:pPr>
        <w:pStyle w:val="RT"/>
        <w:rPr>
          <w:sz w:val="22"/>
          <w:szCs w:val="22"/>
        </w:rPr>
      </w:pPr>
      <w:r>
        <w:rPr>
          <w:sz w:val="22"/>
          <w:szCs w:val="22"/>
        </w:rPr>
        <w:t>Občina Vitanje prevzema pokroviteljstvo nad prireditvami, ki:</w:t>
      </w:r>
    </w:p>
    <w:p>
      <w:pPr>
        <w:pStyle w:val="RT"/>
        <w:rPr>
          <w:sz w:val="22"/>
          <w:szCs w:val="22"/>
        </w:rPr>
      </w:pPr>
      <w:r>
        <w:rPr>
          <w:sz w:val="22"/>
          <w:szCs w:val="22"/>
        </w:rPr>
        <w:t>- imajo prepoznavno vsebino in značaj,</w:t>
      </w:r>
    </w:p>
    <w:p>
      <w:pPr>
        <w:pStyle w:val="RT"/>
        <w:rPr>
          <w:sz w:val="22"/>
          <w:szCs w:val="22"/>
        </w:rPr>
      </w:pPr>
      <w:r>
        <w:rPr>
          <w:sz w:val="22"/>
          <w:szCs w:val="22"/>
        </w:rPr>
        <w:t>- utrjujejo in promovirajo pozitivne vrednote (demokratične vrednote, človekove pravice in druga temeljna načela, zapisana v statutu občine in Ustavi Republike Slovenije),</w:t>
      </w:r>
    </w:p>
    <w:p>
      <w:pPr>
        <w:pStyle w:val="RT"/>
        <w:rPr>
          <w:sz w:val="22"/>
          <w:szCs w:val="22"/>
        </w:rPr>
      </w:pPr>
      <w:r>
        <w:rPr>
          <w:sz w:val="22"/>
          <w:szCs w:val="22"/>
        </w:rPr>
        <w:t>- promovirajo občino oziroma širijo njene razvojne potenciale,</w:t>
      </w:r>
    </w:p>
    <w:p>
      <w:pPr>
        <w:pStyle w:val="RT"/>
        <w:rPr>
          <w:sz w:val="22"/>
          <w:szCs w:val="22"/>
        </w:rPr>
      </w:pPr>
      <w:r>
        <w:rPr>
          <w:sz w:val="22"/>
          <w:szCs w:val="22"/>
        </w:rPr>
        <w:t>- so odprtega značaja, dostopne širšemu krogu ljudi in pretežno brezplačne za obiskovalce,</w:t>
      </w:r>
    </w:p>
    <w:p>
      <w:pPr>
        <w:pStyle w:val="RT"/>
        <w:rPr>
          <w:sz w:val="22"/>
          <w:szCs w:val="22"/>
        </w:rPr>
      </w:pPr>
      <w:r>
        <w:rPr>
          <w:sz w:val="22"/>
          <w:szCs w:val="22"/>
        </w:rPr>
        <w:t>- bodo izvedene v tekočem proračunskem letu,</w:t>
      </w:r>
    </w:p>
    <w:p>
      <w:pPr>
        <w:pStyle w:val="RT"/>
        <w:rPr>
          <w:sz w:val="22"/>
          <w:szCs w:val="22"/>
        </w:rPr>
      </w:pPr>
      <w:r>
        <w:rPr>
          <w:sz w:val="22"/>
          <w:szCs w:val="22"/>
        </w:rPr>
        <w:t>- imajo ob prijavi jasno in pregledno finančno konstrukcijo prihodkov in odhodkov in zagotovljene vire financiranja,</w:t>
      </w:r>
    </w:p>
    <w:p>
      <w:pPr>
        <w:pStyle w:val="RT"/>
        <w:rPr>
          <w:sz w:val="22"/>
          <w:szCs w:val="22"/>
        </w:rPr>
      </w:pPr>
      <w:r>
        <w:rPr>
          <w:sz w:val="22"/>
          <w:szCs w:val="22"/>
        </w:rPr>
        <w:t xml:space="preserve">- so neposredno vezana na </w:t>
      </w:r>
      <w:proofErr w:type="spellStart"/>
      <w:r>
        <w:rPr>
          <w:sz w:val="22"/>
          <w:szCs w:val="22"/>
        </w:rPr>
        <w:t>medregijsko</w:t>
      </w:r>
      <w:proofErr w:type="spellEnd"/>
      <w:r>
        <w:rPr>
          <w:sz w:val="22"/>
          <w:szCs w:val="22"/>
        </w:rPr>
        <w:t xml:space="preserve"> in mednarodno sodelovanje,</w:t>
      </w:r>
    </w:p>
    <w:p>
      <w:pPr>
        <w:pStyle w:val="RT"/>
        <w:rPr>
          <w:sz w:val="22"/>
          <w:szCs w:val="22"/>
        </w:rPr>
      </w:pPr>
      <w:r>
        <w:rPr>
          <w:sz w:val="22"/>
          <w:szCs w:val="22"/>
        </w:rPr>
        <w:t>- jih organizirajo mladi ali so namenjene mladim,</w:t>
      </w:r>
    </w:p>
    <w:p>
      <w:pPr>
        <w:pStyle w:val="RT"/>
        <w:rPr>
          <w:sz w:val="22"/>
          <w:szCs w:val="22"/>
        </w:rPr>
      </w:pPr>
      <w:r>
        <w:rPr>
          <w:sz w:val="22"/>
          <w:szCs w:val="22"/>
        </w:rPr>
        <w:t>- so neposredno vezana na gostovanje skupin iz tujine ter na dejavnost zdomskih društev,</w:t>
      </w:r>
    </w:p>
    <w:p>
      <w:pPr>
        <w:pStyle w:val="RT"/>
        <w:rPr>
          <w:sz w:val="22"/>
          <w:szCs w:val="22"/>
        </w:rPr>
      </w:pPr>
      <w:r>
        <w:rPr>
          <w:sz w:val="22"/>
          <w:szCs w:val="22"/>
        </w:rPr>
        <w:t>- so neposredno namenjena plačilu stroškov sprejema in pogostitve ob pomembnejših jubilejih, obiskih in drugih priložnostih oziroma pomoč pri tem.</w:t>
      </w:r>
    </w:p>
    <w:p>
      <w:pPr>
        <w:pStyle w:val="RT"/>
        <w:rPr>
          <w:sz w:val="22"/>
          <w:szCs w:val="22"/>
        </w:rPr>
      </w:pPr>
      <w:r>
        <w:rPr>
          <w:sz w:val="22"/>
          <w:szCs w:val="22"/>
        </w:rPr>
        <w:t xml:space="preserve">Sredstva, dodeljena na podlagi tega pravilnika, niso namenjena aktivnostim političnih strank ter komercialnim in profitnim organizacijam. </w:t>
      </w:r>
    </w:p>
    <w:p>
      <w:pPr>
        <w:pStyle w:val="RT"/>
        <w:rPr>
          <w:b/>
          <w:sz w:val="22"/>
          <w:szCs w:val="22"/>
        </w:rPr>
      </w:pPr>
      <w:r>
        <w:rPr>
          <w:b/>
          <w:sz w:val="22"/>
          <w:szCs w:val="22"/>
        </w:rPr>
        <w:t>3. Višina dodeljenih sredstev</w:t>
      </w:r>
    </w:p>
    <w:p>
      <w:pPr>
        <w:pStyle w:val="RT"/>
        <w:rPr>
          <w:sz w:val="22"/>
          <w:szCs w:val="22"/>
        </w:rPr>
      </w:pPr>
      <w:r>
        <w:rPr>
          <w:sz w:val="22"/>
          <w:szCs w:val="22"/>
        </w:rPr>
        <w:t>Upravičencem se lahko dodelijo finančna sredstva največ do:</w:t>
      </w:r>
    </w:p>
    <w:p>
      <w:pPr>
        <w:pStyle w:val="RT"/>
        <w:rPr>
          <w:sz w:val="22"/>
          <w:szCs w:val="22"/>
        </w:rPr>
      </w:pPr>
      <w:r>
        <w:rPr>
          <w:sz w:val="22"/>
          <w:szCs w:val="22"/>
        </w:rPr>
        <w:t xml:space="preserve">- 50 evrov za sofinanciranje manjših prireditev in dejavnosti, </w:t>
      </w:r>
    </w:p>
    <w:p>
      <w:pPr>
        <w:pStyle w:val="RT"/>
        <w:rPr>
          <w:sz w:val="22"/>
          <w:szCs w:val="22"/>
        </w:rPr>
      </w:pPr>
      <w:r>
        <w:rPr>
          <w:sz w:val="22"/>
          <w:szCs w:val="22"/>
        </w:rPr>
        <w:t>- 100 evrov za sofinanciranje večjih prireditev in dejavnosti,</w:t>
      </w:r>
    </w:p>
    <w:p>
      <w:pPr>
        <w:pStyle w:val="RT"/>
        <w:rPr>
          <w:sz w:val="22"/>
          <w:szCs w:val="22"/>
        </w:rPr>
      </w:pPr>
      <w:r>
        <w:rPr>
          <w:sz w:val="22"/>
          <w:szCs w:val="22"/>
        </w:rPr>
        <w:t>- 200 evrov za sofinanciranje večjih prireditev in dejavnosti, ki so postale že tradicionalne in za občino večjega pomena,</w:t>
      </w:r>
    </w:p>
    <w:p>
      <w:pPr>
        <w:pStyle w:val="RT"/>
        <w:rPr>
          <w:sz w:val="22"/>
          <w:szCs w:val="22"/>
        </w:rPr>
      </w:pPr>
      <w:r>
        <w:rPr>
          <w:sz w:val="22"/>
          <w:szCs w:val="22"/>
        </w:rPr>
        <w:t xml:space="preserve">- 300 evrov za sofinanciranje prireditev in dejavnosti z </w:t>
      </w:r>
      <w:proofErr w:type="spellStart"/>
      <w:r>
        <w:rPr>
          <w:sz w:val="22"/>
          <w:szCs w:val="22"/>
        </w:rPr>
        <w:t>medregijsko</w:t>
      </w:r>
      <w:proofErr w:type="spellEnd"/>
      <w:r>
        <w:rPr>
          <w:sz w:val="22"/>
          <w:szCs w:val="22"/>
        </w:rPr>
        <w:t xml:space="preserve"> in mednarodno udeležbo,</w:t>
      </w:r>
    </w:p>
    <w:p>
      <w:pPr>
        <w:pStyle w:val="RT"/>
        <w:rPr>
          <w:sz w:val="22"/>
          <w:szCs w:val="22"/>
        </w:rPr>
      </w:pPr>
      <w:r>
        <w:rPr>
          <w:sz w:val="22"/>
          <w:szCs w:val="22"/>
        </w:rPr>
        <w:t xml:space="preserve">- 400 evrov za sofinanciranje večjih prireditev in dejavnosti, ki so postale že tradicionalne in za občino večjega pomena, z </w:t>
      </w:r>
      <w:proofErr w:type="spellStart"/>
      <w:r>
        <w:rPr>
          <w:sz w:val="22"/>
          <w:szCs w:val="22"/>
        </w:rPr>
        <w:t>medregijsko</w:t>
      </w:r>
      <w:proofErr w:type="spellEnd"/>
      <w:r>
        <w:rPr>
          <w:sz w:val="22"/>
          <w:szCs w:val="22"/>
        </w:rPr>
        <w:t xml:space="preserve"> in mednarodno udeležbo ali z velikim promocijskim učinkom, ki trajajo dalj časa,</w:t>
      </w:r>
    </w:p>
    <w:p>
      <w:pPr>
        <w:pStyle w:val="RT"/>
        <w:rPr>
          <w:sz w:val="22"/>
          <w:szCs w:val="22"/>
        </w:rPr>
      </w:pPr>
      <w:r>
        <w:rPr>
          <w:sz w:val="22"/>
          <w:szCs w:val="22"/>
        </w:rPr>
        <w:t xml:space="preserve">- 500 evrov za sofinanciranje večjih prireditev in dejavnosti, ki so postale že tradicionalne in za občino večjega pomena, z </w:t>
      </w:r>
      <w:proofErr w:type="spellStart"/>
      <w:r>
        <w:rPr>
          <w:sz w:val="22"/>
          <w:szCs w:val="22"/>
        </w:rPr>
        <w:t>medregijsko</w:t>
      </w:r>
      <w:proofErr w:type="spellEnd"/>
      <w:r>
        <w:rPr>
          <w:sz w:val="22"/>
          <w:szCs w:val="22"/>
        </w:rPr>
        <w:t xml:space="preserve"> in mednarodno udeležbo, z velikim promocijskim učinkom, ki trajajo dalj časa,</w:t>
      </w:r>
    </w:p>
    <w:p>
      <w:pPr>
        <w:pStyle w:val="RT"/>
        <w:rPr>
          <w:sz w:val="22"/>
          <w:szCs w:val="22"/>
        </w:rPr>
      </w:pPr>
      <w:r>
        <w:rPr>
          <w:sz w:val="22"/>
          <w:szCs w:val="22"/>
        </w:rPr>
        <w:t xml:space="preserve">- 600 evrov ali več za sofinanciranje prireditev in dejavnosti po posebni odločitvi župana z ustrezno utemeljitvijo. </w:t>
      </w:r>
    </w:p>
    <w:p>
      <w:pPr>
        <w:pStyle w:val="RT"/>
        <w:rPr>
          <w:b/>
          <w:sz w:val="22"/>
          <w:szCs w:val="22"/>
        </w:rPr>
      </w:pPr>
      <w:r>
        <w:rPr>
          <w:b/>
          <w:sz w:val="22"/>
          <w:szCs w:val="22"/>
        </w:rPr>
        <w:t>4. Okvirna višina sredstev</w:t>
      </w:r>
    </w:p>
    <w:p>
      <w:pPr>
        <w:pStyle w:val="RT"/>
        <w:rPr>
          <w:sz w:val="22"/>
          <w:szCs w:val="22"/>
        </w:rPr>
      </w:pPr>
      <w:r>
        <w:rPr>
          <w:sz w:val="22"/>
          <w:szCs w:val="22"/>
        </w:rPr>
        <w:t>Razpisanih sredstev za sofinanciranje pokroviteljstva v občini Vitanje za prvo polletje 2026 je 1.050 EUR (proračunska postavka 18014).</w:t>
      </w:r>
    </w:p>
    <w:p>
      <w:pPr>
        <w:pStyle w:val="RT"/>
        <w:rPr>
          <w:b/>
          <w:sz w:val="22"/>
          <w:szCs w:val="22"/>
        </w:rPr>
      </w:pPr>
      <w:r>
        <w:rPr>
          <w:b/>
          <w:sz w:val="22"/>
          <w:szCs w:val="22"/>
        </w:rPr>
        <w:t>5. Vsebina prijave</w:t>
      </w:r>
    </w:p>
    <w:p>
      <w:pPr>
        <w:pStyle w:val="RT"/>
        <w:rPr>
          <w:b/>
          <w:sz w:val="22"/>
          <w:szCs w:val="22"/>
        </w:rPr>
      </w:pPr>
      <w:r>
        <w:rPr>
          <w:sz w:val="22"/>
          <w:szCs w:val="22"/>
        </w:rPr>
        <w:t xml:space="preserve">Za dodelitev proračunskih sredstev po tem pravilniku prosilci oddajo vlogo, v kateri natančno opišejo prijavljeno prireditev, čas in kraj izvajanja, organizatorje in sodelujoče, program, soglasja, če so potrebna, predvideno število obiskovalcev te prireditve ter </w:t>
      </w:r>
      <w:proofErr w:type="spellStart"/>
      <w:r>
        <w:rPr>
          <w:sz w:val="22"/>
          <w:szCs w:val="22"/>
        </w:rPr>
        <w:t>medregijsko</w:t>
      </w:r>
      <w:proofErr w:type="spellEnd"/>
      <w:r>
        <w:rPr>
          <w:sz w:val="22"/>
          <w:szCs w:val="22"/>
        </w:rPr>
        <w:t xml:space="preserve"> ali mednarodno udeležbo obiskovalcev in nastopajočih, če je ta predvidena.</w:t>
      </w:r>
    </w:p>
    <w:p>
      <w:pPr>
        <w:pStyle w:val="RT"/>
        <w:rPr>
          <w:sz w:val="22"/>
          <w:szCs w:val="22"/>
        </w:rPr>
      </w:pPr>
      <w:r>
        <w:rPr>
          <w:sz w:val="22"/>
          <w:szCs w:val="22"/>
        </w:rPr>
        <w:t>Če vloga ob vložitvi ne vsebuje vseh elementov in informacij za ovrednotenje, se prosilca pozove, naj vlogo v določenem roku dopolni. Če tega ne stori oziroma kljub dopolnitvi ne poda zahtevanih podatkov, se vloga s sklepom zavrže.</w:t>
      </w:r>
    </w:p>
    <w:p>
      <w:pPr>
        <w:pStyle w:val="RT"/>
        <w:rPr>
          <w:sz w:val="22"/>
          <w:szCs w:val="22"/>
        </w:rPr>
      </w:pPr>
      <w:r>
        <w:rPr>
          <w:sz w:val="22"/>
          <w:szCs w:val="22"/>
        </w:rPr>
        <w:t>Vlogo pošljite na naslov: Občina Vitanje, Grajski trg 1, 3205 Vitanje ali jo oddajte v tajništvu Občine Vitanje.</w:t>
      </w:r>
    </w:p>
    <w:p>
      <w:pPr>
        <w:pStyle w:val="RT"/>
        <w:rPr>
          <w:b/>
          <w:sz w:val="22"/>
          <w:szCs w:val="22"/>
        </w:rPr>
      </w:pPr>
      <w:r>
        <w:rPr>
          <w:b/>
          <w:sz w:val="22"/>
          <w:szCs w:val="22"/>
        </w:rPr>
        <w:t>6. Rok za oddajo prijav</w:t>
      </w:r>
    </w:p>
    <w:p>
      <w:pPr>
        <w:pStyle w:val="RT"/>
        <w:rPr>
          <w:sz w:val="22"/>
          <w:szCs w:val="22"/>
        </w:rPr>
      </w:pPr>
      <w:r>
        <w:rPr>
          <w:sz w:val="22"/>
          <w:szCs w:val="22"/>
        </w:rPr>
        <w:t xml:space="preserve">Rok za oddajo prijav je </w:t>
      </w:r>
      <w:r>
        <w:rPr>
          <w:b/>
          <w:sz w:val="22"/>
          <w:szCs w:val="22"/>
        </w:rPr>
        <w:t>2. 6. 2026, do 12.00.</w:t>
      </w:r>
      <w:r>
        <w:rPr>
          <w:sz w:val="22"/>
          <w:szCs w:val="22"/>
        </w:rPr>
        <w:t xml:space="preserve"> </w:t>
      </w:r>
    </w:p>
    <w:p>
      <w:pPr>
        <w:pStyle w:val="RT"/>
        <w:rPr>
          <w:b/>
          <w:sz w:val="22"/>
          <w:szCs w:val="22"/>
        </w:rPr>
      </w:pPr>
      <w:r>
        <w:rPr>
          <w:b/>
          <w:sz w:val="22"/>
          <w:szCs w:val="22"/>
        </w:rPr>
        <w:t>7. Izid javnega poziva</w:t>
      </w:r>
    </w:p>
    <w:p>
      <w:pPr>
        <w:pStyle w:val="RT"/>
        <w:rPr>
          <w:sz w:val="22"/>
          <w:szCs w:val="22"/>
        </w:rPr>
      </w:pPr>
      <w:r>
        <w:rPr>
          <w:sz w:val="22"/>
          <w:szCs w:val="22"/>
        </w:rPr>
        <w:t>Vse popolne vloge obravnava Komisija za dodeljevanje proračunskih sredstev za namen pokroviteljstva v občini.</w:t>
      </w:r>
    </w:p>
    <w:p>
      <w:pPr>
        <w:pStyle w:val="RT"/>
        <w:rPr>
          <w:sz w:val="22"/>
          <w:szCs w:val="22"/>
        </w:rPr>
      </w:pPr>
      <w:r>
        <w:rPr>
          <w:sz w:val="22"/>
          <w:szCs w:val="22"/>
        </w:rPr>
        <w:t>Komisija bo pri odločanju o oblikovanju predloga dodelitve proračunskih sredstev posameznim prijaviteljem upoštevala naslednja merila:</w:t>
      </w:r>
    </w:p>
    <w:p>
      <w:pPr>
        <w:pStyle w:val="RT"/>
        <w:rPr>
          <w:sz w:val="22"/>
          <w:szCs w:val="22"/>
        </w:rPr>
      </w:pPr>
      <w:r>
        <w:rPr>
          <w:sz w:val="22"/>
          <w:szCs w:val="22"/>
        </w:rPr>
        <w:t>- kakovost, možnost izvedbe in dostopnost prireditve oz. dejavnosti,</w:t>
      </w:r>
    </w:p>
    <w:p>
      <w:pPr>
        <w:pStyle w:val="RT"/>
        <w:rPr>
          <w:sz w:val="22"/>
          <w:szCs w:val="22"/>
        </w:rPr>
      </w:pPr>
      <w:r>
        <w:rPr>
          <w:sz w:val="22"/>
          <w:szCs w:val="22"/>
        </w:rPr>
        <w:t>- pomembnost prireditve za občino in za družbeno življenje občanov,</w:t>
      </w:r>
    </w:p>
    <w:p>
      <w:pPr>
        <w:pStyle w:val="RT"/>
        <w:rPr>
          <w:sz w:val="22"/>
          <w:szCs w:val="22"/>
        </w:rPr>
      </w:pPr>
      <w:r>
        <w:rPr>
          <w:sz w:val="22"/>
          <w:szCs w:val="22"/>
        </w:rPr>
        <w:t>- pričakovano udeležbo ter sorazmernost sofinanciranja podobnih prireditev ali dejavnosti,</w:t>
      </w:r>
    </w:p>
    <w:p>
      <w:pPr>
        <w:pStyle w:val="RT"/>
        <w:rPr>
          <w:sz w:val="22"/>
          <w:szCs w:val="22"/>
        </w:rPr>
      </w:pPr>
      <w:r>
        <w:rPr>
          <w:sz w:val="22"/>
          <w:szCs w:val="22"/>
        </w:rPr>
        <w:t>- preglednost, ekonomičnost in izvedljivost finančne konstrukcije.</w:t>
      </w:r>
    </w:p>
    <w:p>
      <w:pPr>
        <w:pStyle w:val="RT"/>
        <w:rPr>
          <w:sz w:val="22"/>
          <w:szCs w:val="22"/>
        </w:rPr>
      </w:pPr>
      <w:r>
        <w:rPr>
          <w:sz w:val="22"/>
          <w:szCs w:val="22"/>
        </w:rPr>
        <w:t xml:space="preserve">Z izbranimi prosilci bodo podpisane pogodbe. </w:t>
      </w:r>
    </w:p>
    <w:p>
      <w:pPr>
        <w:pStyle w:val="RT"/>
        <w:rPr>
          <w:b/>
          <w:sz w:val="22"/>
          <w:szCs w:val="22"/>
        </w:rPr>
      </w:pPr>
      <w:r>
        <w:rPr>
          <w:b/>
          <w:sz w:val="22"/>
          <w:szCs w:val="22"/>
        </w:rPr>
        <w:t>8. Informacije</w:t>
      </w:r>
    </w:p>
    <w:p>
      <w:pPr>
        <w:pStyle w:val="RT"/>
        <w:rPr>
          <w:sz w:val="22"/>
          <w:szCs w:val="22"/>
        </w:rPr>
      </w:pPr>
      <w:r>
        <w:rPr>
          <w:sz w:val="22"/>
          <w:szCs w:val="22"/>
        </w:rPr>
        <w:t xml:space="preserve">Prvi javni poziv je objavljen tudi na spletni strani Občine Vitanje. Vse dodatne informacije glede javnega poziva lahko zainteresirani dobijo na naslovu Občine Vitanje, Grajski trg 1, Vitanje, tel. (03) 757 43 57 (Ivica Žerdoner). </w:t>
      </w:r>
    </w:p>
    <w:p>
      <w:pPr>
        <w:rPr>
          <w:sz w:val="22"/>
          <w:szCs w:val="22"/>
        </w:rPr>
      </w:pPr>
    </w:p>
    <w:p>
      <w:pPr>
        <w:rPr>
          <w:sz w:val="22"/>
          <w:szCs w:val="22"/>
        </w:rPr>
      </w:pPr>
      <w:bookmarkStart w:id="0" w:name="_GoBack"/>
      <w:bookmarkEnd w:id="0"/>
      <w:r>
        <w:rPr>
          <w:sz w:val="22"/>
          <w:szCs w:val="22"/>
        </w:rPr>
        <w:t>Številka:410-009/2026-001</w:t>
      </w:r>
    </w:p>
    <w:p>
      <w:pPr>
        <w:rPr>
          <w:sz w:val="22"/>
          <w:szCs w:val="22"/>
        </w:rPr>
      </w:pPr>
      <w:r>
        <w:rPr>
          <w:sz w:val="22"/>
          <w:szCs w:val="22"/>
        </w:rPr>
        <w:t>Datum: 2.4.2026                                                                                                             Župan Občine Vitanje</w:t>
      </w:r>
    </w:p>
    <w:p>
      <w:pPr>
        <w:rPr>
          <w:sz w:val="22"/>
          <w:szCs w:val="22"/>
        </w:rPr>
      </w:pPr>
      <w:r>
        <w:rPr>
          <w:sz w:val="22"/>
          <w:szCs w:val="22"/>
        </w:rPr>
        <w:t xml:space="preserve">                                                                                                                                          Andraž Pogorevc, mag.</w:t>
      </w:r>
    </w:p>
    <w:p>
      <w:pPr>
        <w:rPr>
          <w:sz w:val="22"/>
          <w:szCs w:val="22"/>
        </w:rPr>
      </w:pPr>
    </w:p>
    <w:sectPr>
      <w:pgSz w:w="11906" w:h="16838"/>
      <w:pgMar w:top="850" w:right="850" w:bottom="850" w:left="85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tainless-Regular">
    <w:altName w:val="Courier New"/>
    <w:panose1 w:val="00000000000000000000"/>
    <w:charset w:val="C8"/>
    <w:family w:val="auto"/>
    <w:notTrueType/>
    <w:pitch w:val="variable"/>
    <w:sig w:usb0="00000087" w:usb1="00000000" w:usb2="00000000" w:usb3="00000000" w:csb0="0000000B" w:csb1="00000000"/>
  </w:font>
  <w:font w:name="SL Swiss">
    <w:altName w:val="Times New Roman"/>
    <w:panose1 w:val="00000000000000000000"/>
    <w:charset w:val="00"/>
    <w:family w:val="auto"/>
    <w:notTrueType/>
    <w:pitch w:val="variable"/>
    <w:sig w:usb0="00000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21D42"/>
    <w:multiLevelType w:val="hybridMultilevel"/>
    <w:tmpl w:val="9EB8A824"/>
    <w:lvl w:ilvl="0" w:tplc="0DEC6EAE">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99F3EA9"/>
    <w:multiLevelType w:val="hybridMultilevel"/>
    <w:tmpl w:val="4A82BD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957216C"/>
    <w:multiLevelType w:val="hybridMultilevel"/>
    <w:tmpl w:val="1CD452F2"/>
    <w:lvl w:ilvl="0" w:tplc="E1D8A674">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3FB6D7-9662-4796-B350-834279BB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ljoša"/>
    <w:qFormat/>
    <w:pPr>
      <w:spacing w:after="0" w:line="240" w:lineRule="auto"/>
    </w:pPr>
    <w:rPr>
      <w:rFonts w:ascii="Times New Roman" w:hAnsi="Times New Roman" w:cs="Times New Roman"/>
      <w:sz w:val="20"/>
      <w:szCs w:val="20"/>
    </w:rPr>
  </w:style>
  <w:style w:type="paragraph" w:styleId="Naslov1">
    <w:name w:val="heading 1"/>
    <w:basedOn w:val="Navaden"/>
    <w:next w:val="Navaden"/>
    <w:link w:val="Naslov1Znak"/>
    <w:pPr>
      <w:keepNext/>
      <w:outlineLvl w:val="0"/>
    </w:pPr>
    <w:rPr>
      <w:b/>
      <w:bCs/>
    </w:rPr>
  </w:style>
  <w:style w:type="paragraph" w:styleId="Naslov4">
    <w:name w:val="heading 4"/>
    <w:basedOn w:val="Navaden"/>
    <w:next w:val="Navaden"/>
    <w:link w:val="Naslov4Znak"/>
    <w:semiHidden/>
    <w:unhideWhenUsed/>
    <w:qFormat/>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pPr>
      <w:ind w:left="720"/>
      <w:contextualSpacing/>
    </w:pPr>
  </w:style>
  <w:style w:type="character" w:customStyle="1" w:styleId="Naslov1Znak">
    <w:name w:val="Naslov 1 Znak"/>
    <w:link w:val="Naslov1"/>
    <w:rPr>
      <w:rFonts w:ascii="Arial" w:eastAsia="Times New Roman" w:hAnsi="Arial" w:cs="Arial"/>
      <w:b/>
      <w:bCs/>
      <w:sz w:val="24"/>
      <w:szCs w:val="24"/>
      <w:lang w:eastAsia="sl-SI"/>
    </w:rPr>
  </w:style>
  <w:style w:type="character" w:customStyle="1" w:styleId="Naslov4Znak">
    <w:name w:val="Naslov 4 Znak"/>
    <w:link w:val="Naslov4"/>
    <w:semiHidden/>
    <w:rPr>
      <w:rFonts w:ascii="Calibri" w:eastAsia="Times New Roman" w:hAnsi="Calibri" w:cs="Times New Roman"/>
      <w:b/>
      <w:bCs/>
      <w:sz w:val="28"/>
      <w:szCs w:val="28"/>
      <w:lang w:eastAsia="sl-SI"/>
    </w:rPr>
  </w:style>
  <w:style w:type="paragraph" w:customStyle="1" w:styleId="T">
    <w:name w:val="T"/>
    <w:basedOn w:val="Navaden"/>
    <w:next w:val="Navaden"/>
    <w:link w:val="TZnak"/>
    <w:pPr>
      <w:overflowPunct w:val="0"/>
      <w:autoSpaceDE w:val="0"/>
      <w:autoSpaceDN w:val="0"/>
      <w:adjustRightInd w:val="0"/>
      <w:textAlignment w:val="baseline"/>
    </w:pPr>
  </w:style>
  <w:style w:type="character" w:customStyle="1" w:styleId="TZnak">
    <w:name w:val="T Znak"/>
    <w:link w:val="T"/>
    <w:locked/>
    <w:rPr>
      <w:rFonts w:ascii="Arial" w:eastAsia="Times New Roman" w:hAnsi="Arial" w:cs="Arial"/>
      <w:sz w:val="24"/>
      <w:szCs w:val="24"/>
      <w:lang w:eastAsia="sl-SI"/>
    </w:rPr>
  </w:style>
  <w:style w:type="paragraph" w:customStyle="1" w:styleId="A">
    <w:name w:val="A"/>
    <w:basedOn w:val="T"/>
    <w:next w:val="T"/>
    <w:qFormat/>
    <w:rPr>
      <w:b/>
      <w:i/>
      <w:iCs/>
    </w:rPr>
  </w:style>
  <w:style w:type="paragraph" w:customStyle="1" w:styleId="FDS">
    <w:name w:val="FDS"/>
    <w:basedOn w:val="T"/>
    <w:next w:val="Navaden"/>
    <w:rPr>
      <w:b/>
      <w:color w:val="008000"/>
    </w:rPr>
  </w:style>
  <w:style w:type="paragraph" w:customStyle="1" w:styleId="M">
    <w:name w:val="M"/>
    <w:basedOn w:val="Navaden"/>
    <w:next w:val="Navaden"/>
    <w:qFormat/>
    <w:rPr>
      <w:bCs/>
      <w:color w:val="0000FF"/>
    </w:rPr>
  </w:style>
  <w:style w:type="paragraph" w:customStyle="1" w:styleId="Mo">
    <w:name w:val="Mo"/>
    <w:basedOn w:val="Navaden"/>
    <w:next w:val="Navaden"/>
    <w:link w:val="MoZnak1"/>
  </w:style>
  <w:style w:type="paragraph" w:customStyle="1" w:styleId="MR">
    <w:name w:val="MR"/>
    <w:basedOn w:val="Navaden"/>
    <w:next w:val="Navaden"/>
    <w:link w:val="MRZnak"/>
    <w:pPr>
      <w:jc w:val="center"/>
    </w:pPr>
    <w:rPr>
      <w:color w:val="FF00FF"/>
    </w:rPr>
  </w:style>
  <w:style w:type="paragraph" w:customStyle="1" w:styleId="N24">
    <w:name w:val="N24"/>
    <w:basedOn w:val="Navaden"/>
    <w:next w:val="Navaden"/>
    <w:qFormat/>
    <w:rPr>
      <w:bCs/>
      <w:color w:val="FF0000"/>
    </w:rPr>
  </w:style>
  <w:style w:type="paragraph" w:customStyle="1" w:styleId="N28">
    <w:name w:val="N28"/>
    <w:basedOn w:val="Navaden"/>
    <w:next w:val="Navaden"/>
    <w:qFormat/>
    <w:rPr>
      <w:bCs/>
      <w:color w:val="FF0000"/>
    </w:rPr>
  </w:style>
  <w:style w:type="paragraph" w:customStyle="1" w:styleId="N35">
    <w:name w:val="N35"/>
    <w:basedOn w:val="Navaden"/>
    <w:next w:val="Navaden"/>
    <w:rPr>
      <w:bCs/>
      <w:color w:val="FF0000"/>
    </w:rPr>
  </w:style>
  <w:style w:type="paragraph" w:customStyle="1" w:styleId="NN">
    <w:name w:val="NN"/>
    <w:basedOn w:val="T"/>
    <w:next w:val="T"/>
    <w:rPr>
      <w:caps/>
      <w:sz w:val="28"/>
      <w:szCs w:val="28"/>
    </w:rPr>
  </w:style>
  <w:style w:type="paragraph" w:customStyle="1" w:styleId="NO">
    <w:name w:val="NO"/>
    <w:basedOn w:val="Navaden"/>
    <w:next w:val="Navaden"/>
    <w:link w:val="NOZnak"/>
    <w:qFormat/>
    <w:rPr>
      <w:color w:val="C00000"/>
    </w:rPr>
  </w:style>
  <w:style w:type="character" w:customStyle="1" w:styleId="NOZnak">
    <w:name w:val="NO Znak"/>
    <w:link w:val="NO"/>
    <w:rPr>
      <w:rFonts w:ascii="Arial" w:eastAsia="Times New Roman" w:hAnsi="Arial" w:cs="Arial"/>
      <w:color w:val="C00000"/>
      <w:sz w:val="24"/>
      <w:szCs w:val="24"/>
      <w:lang w:eastAsia="sl-SI"/>
    </w:rPr>
  </w:style>
  <w:style w:type="paragraph" w:customStyle="1" w:styleId="O">
    <w:name w:val="O"/>
    <w:basedOn w:val="Navaden"/>
    <w:next w:val="Navaden"/>
    <w:link w:val="OZnak"/>
    <w:qFormat/>
  </w:style>
  <w:style w:type="character" w:customStyle="1" w:styleId="OZnak">
    <w:name w:val="O Znak"/>
    <w:link w:val="O"/>
    <w:rPr>
      <w:rFonts w:ascii="Arial" w:eastAsia="Times New Roman" w:hAnsi="Arial" w:cs="Arial"/>
      <w:sz w:val="24"/>
      <w:szCs w:val="24"/>
      <w:lang w:eastAsia="sl-SI"/>
    </w:rPr>
  </w:style>
  <w:style w:type="paragraph" w:customStyle="1" w:styleId="RN">
    <w:name w:val="RN"/>
    <w:basedOn w:val="Navaden"/>
    <w:next w:val="Navaden"/>
    <w:rPr>
      <w:bCs/>
      <w:color w:val="FF0000"/>
    </w:rPr>
  </w:style>
  <w:style w:type="paragraph" w:customStyle="1" w:styleId="RT">
    <w:name w:val="RT"/>
    <w:basedOn w:val="Navaden"/>
    <w:next w:val="Navaden"/>
  </w:style>
  <w:style w:type="paragraph" w:customStyle="1" w:styleId="RTA">
    <w:name w:val="RTA"/>
    <w:basedOn w:val="Navaden"/>
    <w:next w:val="Navaden"/>
    <w:pPr>
      <w:jc w:val="right"/>
    </w:pPr>
    <w:rPr>
      <w:iCs/>
    </w:rPr>
  </w:style>
  <w:style w:type="paragraph" w:customStyle="1" w:styleId="S">
    <w:name w:val="S"/>
    <w:basedOn w:val="Navaden"/>
    <w:next w:val="Navaden"/>
    <w:rPr>
      <w:color w:val="538135"/>
    </w:rPr>
  </w:style>
  <w:style w:type="paragraph" w:customStyle="1" w:styleId="U">
    <w:name w:val="U"/>
    <w:basedOn w:val="Navaden"/>
    <w:next w:val="Navaden"/>
    <w:rPr>
      <w:color w:val="800080"/>
    </w:rPr>
  </w:style>
  <w:style w:type="paragraph" w:customStyle="1" w:styleId="V">
    <w:name w:val="V"/>
    <w:basedOn w:val="Navaden"/>
    <w:next w:val="Navaden"/>
    <w:rPr>
      <w:bCs/>
      <w:iCs/>
      <w:color w:val="632423" w:themeColor="accent2" w:themeShade="80"/>
    </w:rPr>
  </w:style>
  <w:style w:type="paragraph" w:customStyle="1" w:styleId="P">
    <w:name w:val="P"/>
    <w:basedOn w:val="Navaden"/>
    <w:next w:val="Navaden"/>
    <w:rPr>
      <w:bCs/>
      <w:color w:val="833C0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eastAsia="Times New Roman" w:hAnsi="Tahoma" w:cs="Tahoma"/>
      <w:sz w:val="16"/>
      <w:szCs w:val="16"/>
      <w:lang w:eastAsia="sl-SI"/>
    </w:rPr>
  </w:style>
  <w:style w:type="paragraph" w:customStyle="1" w:styleId="c1">
    <w:name w:val="c1"/>
    <w:basedOn w:val="Navaden"/>
    <w:pPr>
      <w:spacing w:before="48" w:after="12"/>
      <w:ind w:left="12" w:right="12"/>
    </w:pPr>
    <w:rPr>
      <w:color w:val="222222"/>
      <w:sz w:val="22"/>
      <w:szCs w:val="22"/>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0"/>
      <w:szCs w:val="20"/>
      <w:lang w:eastAsia="sl-SI"/>
    </w:rPr>
  </w:style>
  <w:style w:type="paragraph" w:customStyle="1" w:styleId="DMT">
    <w:name w:val="DMT"/>
    <w:basedOn w:val="T"/>
    <w:next w:val="T"/>
    <w:rPr>
      <w:i/>
      <w:iCs/>
    </w:rPr>
  </w:style>
  <w:style w:type="paragraph" w:styleId="Glava">
    <w:name w:val="header"/>
    <w:basedOn w:val="Navaden"/>
    <w:link w:val="GlavaZnak"/>
    <w:pPr>
      <w:tabs>
        <w:tab w:val="center" w:pos="4536"/>
        <w:tab w:val="right" w:pos="9072"/>
      </w:tabs>
    </w:pPr>
  </w:style>
  <w:style w:type="character" w:customStyle="1" w:styleId="GlavaZnak">
    <w:name w:val="Glava Znak"/>
    <w:link w:val="Glava"/>
    <w:rPr>
      <w:rFonts w:ascii="Arial" w:eastAsia="Times New Roman" w:hAnsi="Arial" w:cs="Arial"/>
      <w:sz w:val="24"/>
      <w:szCs w:val="24"/>
      <w:lang w:eastAsia="sl-SI"/>
    </w:rPr>
  </w:style>
  <w:style w:type="paragraph" w:customStyle="1" w:styleId="h4">
    <w:name w:val="h4"/>
    <w:basedOn w:val="Navaden"/>
    <w:pPr>
      <w:spacing w:before="240" w:after="180"/>
      <w:ind w:left="12" w:right="12"/>
      <w:jc w:val="center"/>
    </w:pPr>
    <w:rPr>
      <w:b/>
      <w:bCs/>
      <w:color w:val="222222"/>
      <w:sz w:val="22"/>
      <w:szCs w:val="22"/>
    </w:rPr>
  </w:style>
  <w:style w:type="character" w:styleId="Hiperpovezava">
    <w:name w:val="Hyperlink"/>
    <w:rPr>
      <w:color w:val="0000FF"/>
      <w:u w:val="single"/>
    </w:rPr>
  </w:style>
  <w:style w:type="paragraph" w:customStyle="1" w:styleId="Kn">
    <w:name w:val="Kn"/>
    <w:basedOn w:val="T"/>
    <w:next w:val="T"/>
    <w:rPr>
      <w:b/>
      <w:bCs/>
      <w:sz w:val="28"/>
      <w:szCs w:val="28"/>
    </w:rPr>
  </w:style>
  <w:style w:type="paragraph" w:customStyle="1" w:styleId="Kn1">
    <w:name w:val="Kn1"/>
    <w:basedOn w:val="T"/>
    <w:next w:val="T"/>
    <w:rPr>
      <w:sz w:val="28"/>
      <w:szCs w:val="28"/>
    </w:rPr>
  </w:style>
  <w:style w:type="character" w:styleId="Krepko">
    <w:name w:val="Strong"/>
    <w:aliases w:val="Na24"/>
    <w:rPr>
      <w:b/>
      <w:color w:val="auto"/>
    </w:rPr>
  </w:style>
  <w:style w:type="paragraph" w:customStyle="1" w:styleId="Ltab">
    <w:name w:val="Ltab"/>
    <w:basedOn w:val="Navaden"/>
    <w:semiHidden/>
  </w:style>
  <w:style w:type="paragraph" w:customStyle="1" w:styleId="Ltext">
    <w:name w:val="Ltext"/>
    <w:basedOn w:val="Navaden"/>
    <w:semiHidden/>
  </w:style>
  <w:style w:type="paragraph" w:customStyle="1" w:styleId="navaden1">
    <w:name w:val="navaden1"/>
    <w:basedOn w:val="Navaden"/>
  </w:style>
  <w:style w:type="character" w:customStyle="1" w:styleId="Nerazreenaomemba1">
    <w:name w:val="Nerazrešena omemba1"/>
    <w:uiPriority w:val="99"/>
    <w:semiHidden/>
    <w:unhideWhenUsed/>
    <w:rPr>
      <w:color w:val="605E5C"/>
      <w:shd w:val="clear" w:color="auto" w:fill="E1DFDD"/>
    </w:rPr>
  </w:style>
  <w:style w:type="paragraph" w:styleId="Noga">
    <w:name w:val="footer"/>
    <w:basedOn w:val="Navaden"/>
    <w:link w:val="NogaZnak"/>
    <w:pPr>
      <w:tabs>
        <w:tab w:val="center" w:pos="4536"/>
        <w:tab w:val="right" w:pos="9072"/>
      </w:tabs>
    </w:pPr>
  </w:style>
  <w:style w:type="character" w:customStyle="1" w:styleId="NogaZnak">
    <w:name w:val="Noga Znak"/>
    <w:link w:val="Noga"/>
    <w:rPr>
      <w:rFonts w:ascii="Arial" w:eastAsia="Times New Roman" w:hAnsi="Arial" w:cs="Arial"/>
      <w:sz w:val="24"/>
      <w:szCs w:val="24"/>
      <w:lang w:eastAsia="sl-SI"/>
    </w:rPr>
  </w:style>
  <w:style w:type="paragraph" w:customStyle="1" w:styleId="Odstavekseznama1">
    <w:name w:val="Odstavek seznama1"/>
    <w:basedOn w:val="Navaden"/>
    <w:pPr>
      <w:suppressAutoHyphens/>
      <w:ind w:left="720"/>
      <w:contextualSpacing/>
    </w:pPr>
    <w:rPr>
      <w:lang w:eastAsia="ar-SA"/>
    </w:rPr>
  </w:style>
  <w:style w:type="paragraph" w:customStyle="1" w:styleId="p0">
    <w:name w:val="p"/>
    <w:basedOn w:val="Navaden"/>
    <w:pPr>
      <w:spacing w:before="48" w:after="12"/>
      <w:ind w:left="12" w:right="12" w:firstLine="240"/>
    </w:pPr>
    <w:rPr>
      <w:color w:val="222222"/>
      <w:sz w:val="22"/>
      <w:szCs w:val="22"/>
    </w:rPr>
  </w:style>
  <w:style w:type="paragraph" w:customStyle="1" w:styleId="Pa0">
    <w:name w:val="Pa0"/>
    <w:basedOn w:val="Navaden"/>
    <w:next w:val="Navaden"/>
    <w:pPr>
      <w:autoSpaceDE w:val="0"/>
      <w:autoSpaceDN w:val="0"/>
      <w:adjustRightInd w:val="0"/>
      <w:spacing w:line="201" w:lineRule="atLeast"/>
    </w:pPr>
  </w:style>
  <w:style w:type="paragraph" w:styleId="Podnaslov">
    <w:name w:val="Subtitle"/>
    <w:basedOn w:val="Navaden"/>
    <w:next w:val="Navaden"/>
    <w:link w:val="PodnaslovZnak"/>
    <w:qFormat/>
    <w:pPr>
      <w:spacing w:after="60"/>
      <w:jc w:val="center"/>
      <w:outlineLvl w:val="1"/>
    </w:pPr>
    <w:rPr>
      <w:rFonts w:ascii="Cambria" w:hAnsi="Cambria"/>
    </w:rPr>
  </w:style>
  <w:style w:type="character" w:customStyle="1" w:styleId="PodnaslovZnak">
    <w:name w:val="Podnaslov Znak"/>
    <w:link w:val="Podnaslov"/>
    <w:rPr>
      <w:rFonts w:ascii="Cambria" w:eastAsia="Times New Roman" w:hAnsi="Cambria" w:cs="Times New Roman"/>
      <w:sz w:val="24"/>
      <w:szCs w:val="24"/>
      <w:lang w:eastAsia="sl-SI"/>
    </w:rPr>
  </w:style>
  <w:style w:type="paragraph" w:styleId="Pripombabesedilo">
    <w:name w:val="annotation text"/>
    <w:basedOn w:val="Navaden"/>
    <w:link w:val="PripombabesediloZnak"/>
    <w:semiHidden/>
    <w:unhideWhenUsed/>
  </w:style>
  <w:style w:type="character" w:customStyle="1" w:styleId="PripombabesediloZnak">
    <w:name w:val="Pripomba – besedilo Znak"/>
    <w:link w:val="Pripombabesedilo"/>
    <w:semiHidden/>
    <w:rPr>
      <w:rFonts w:ascii="Arial" w:eastAsia="Times New Roman" w:hAnsi="Arial" w:cs="Arial"/>
      <w:sz w:val="24"/>
      <w:szCs w:val="24"/>
      <w:lang w:eastAsia="sl-SI"/>
    </w:rPr>
  </w:style>
  <w:style w:type="paragraph" w:customStyle="1" w:styleId="RPT">
    <w:name w:val="RPT"/>
    <w:basedOn w:val="T"/>
    <w:next w:val="T"/>
    <w:rPr>
      <w:i/>
      <w:iCs/>
    </w:rPr>
  </w:style>
  <w:style w:type="character" w:styleId="SledenaHiperpovezava">
    <w:name w:val="FollowedHyperlink"/>
    <w:rPr>
      <w:color w:val="800080"/>
      <w:u w:val="single"/>
    </w:rPr>
  </w:style>
  <w:style w:type="paragraph" w:customStyle="1" w:styleId="Slog1">
    <w:name w:val="Slog1"/>
    <w:basedOn w:val="Navaden"/>
    <w:semiHidden/>
    <w:pPr>
      <w:autoSpaceDE w:val="0"/>
      <w:autoSpaceDN w:val="0"/>
      <w:adjustRightInd w:val="0"/>
    </w:pPr>
    <w:rPr>
      <w:rFonts w:ascii="Stainless-Regular" w:hAnsi="Stainless-Regular" w:cs="Stainless-Regular"/>
    </w:rPr>
  </w:style>
  <w:style w:type="paragraph" w:customStyle="1" w:styleId="Style1">
    <w:name w:val="Style1"/>
    <w:basedOn w:val="Navaden"/>
    <w:pPr>
      <w:spacing w:before="80"/>
    </w:pPr>
    <w:rPr>
      <w:rFonts w:ascii="SL Swiss" w:hAnsi="SL Swiss"/>
      <w:b/>
      <w:smallCaps/>
      <w:lang w:val="en-GB"/>
    </w:rPr>
  </w:style>
  <w:style w:type="character" w:styleId="tevilkavrstice">
    <w:name w:val="line number"/>
    <w:basedOn w:val="Privzetapisavaodstavka"/>
  </w:style>
  <w:style w:type="table" w:styleId="Tabelamrea">
    <w:name w:val="Table Grid"/>
    <w:basedOn w:val="Navadnatabel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pPr>
      <w:tabs>
        <w:tab w:val="left" w:pos="1418"/>
      </w:tabs>
    </w:pPr>
    <w:rPr>
      <w:sz w:val="22"/>
    </w:rPr>
  </w:style>
  <w:style w:type="character" w:customStyle="1" w:styleId="TelobesedilaZnak">
    <w:name w:val="Telo besedila Znak"/>
    <w:link w:val="Telobesedila"/>
    <w:rPr>
      <w:rFonts w:ascii="Arial" w:eastAsia="Times New Roman" w:hAnsi="Arial" w:cs="Arial"/>
      <w:szCs w:val="24"/>
      <w:lang w:eastAsia="sl-SI"/>
    </w:rPr>
  </w:style>
  <w:style w:type="paragraph" w:customStyle="1" w:styleId="TN">
    <w:name w:val="TN"/>
    <w:basedOn w:val="T"/>
    <w:next w:val="T"/>
  </w:style>
  <w:style w:type="paragraph" w:customStyle="1" w:styleId="TO">
    <w:name w:val="TO"/>
    <w:basedOn w:val="T"/>
    <w:link w:val="TOZnak"/>
    <w:qFormat/>
  </w:style>
  <w:style w:type="character" w:customStyle="1" w:styleId="TOZnak">
    <w:name w:val="TO Znak"/>
    <w:link w:val="TO"/>
    <w:rPr>
      <w:rFonts w:ascii="Arial" w:eastAsia="Times New Roman" w:hAnsi="Arial" w:cs="Arial"/>
      <w:sz w:val="24"/>
      <w:szCs w:val="24"/>
      <w:lang w:eastAsia="sl-SI"/>
    </w:rPr>
  </w:style>
  <w:style w:type="paragraph" w:customStyle="1" w:styleId="TT">
    <w:name w:val="TT"/>
    <w:basedOn w:val="T"/>
    <w:rPr>
      <w:caps/>
      <w:sz w:val="28"/>
      <w:szCs w:val="28"/>
    </w:rPr>
  </w:style>
  <w:style w:type="paragraph" w:customStyle="1" w:styleId="UR">
    <w:name w:val="UR"/>
    <w:basedOn w:val="U"/>
    <w:next w:val="U"/>
    <w:link w:val="URZnak"/>
    <w:qFormat/>
    <w:rPr>
      <w:color w:val="9A0000"/>
    </w:rPr>
  </w:style>
  <w:style w:type="character" w:customStyle="1" w:styleId="URZnak">
    <w:name w:val="UR Znak"/>
    <w:link w:val="UR"/>
    <w:rPr>
      <w:rFonts w:ascii="Arial" w:eastAsia="Times New Roman" w:hAnsi="Arial" w:cs="Arial"/>
      <w:color w:val="9A0000"/>
      <w:sz w:val="24"/>
      <w:szCs w:val="24"/>
      <w:lang w:eastAsia="sl-SI"/>
    </w:rPr>
  </w:style>
  <w:style w:type="paragraph" w:customStyle="1" w:styleId="Zav">
    <w:name w:val="Z_av"/>
    <w:basedOn w:val="Navaden"/>
    <w:next w:val="Navaden"/>
    <w:rPr>
      <w:iCs/>
    </w:rPr>
  </w:style>
  <w:style w:type="paragraph" w:customStyle="1" w:styleId="Zime">
    <w:name w:val="Z_ime"/>
    <w:basedOn w:val="Navaden"/>
    <w:next w:val="Navaden"/>
    <w:rPr>
      <w:caps/>
    </w:rPr>
  </w:style>
  <w:style w:type="paragraph" w:customStyle="1" w:styleId="Zpod">
    <w:name w:val="Z_pod"/>
    <w:basedOn w:val="Navaden"/>
    <w:autoRedefine/>
    <w:rPr>
      <w:kern w:val="24"/>
    </w:rPr>
  </w:style>
  <w:style w:type="paragraph" w:customStyle="1" w:styleId="Ztekst">
    <w:name w:val="Z_tekst"/>
    <w:basedOn w:val="Navaden"/>
    <w:rPr>
      <w:kern w:val="24"/>
    </w:rPr>
  </w:style>
  <w:style w:type="paragraph" w:customStyle="1" w:styleId="Ztext">
    <w:name w:val="Z_text"/>
    <w:basedOn w:val="Navaden"/>
    <w:autoRedefine/>
    <w:rPr>
      <w:kern w:val="24"/>
    </w:rPr>
  </w:style>
  <w:style w:type="paragraph" w:customStyle="1" w:styleId="Zverz">
    <w:name w:val="Z_verz"/>
    <w:basedOn w:val="Navaden"/>
    <w:rPr>
      <w:iCs/>
    </w:rPr>
  </w:style>
  <w:style w:type="paragraph" w:customStyle="1" w:styleId="Zzah">
    <w:name w:val="Z_zah"/>
    <w:basedOn w:val="T"/>
    <w:rPr>
      <w:bCs/>
      <w:caps/>
      <w:color w:val="767171"/>
      <w:kern w:val="24"/>
    </w:rPr>
  </w:style>
  <w:style w:type="paragraph" w:customStyle="1" w:styleId="Zverz0">
    <w:name w:val="Zverz"/>
    <w:basedOn w:val="Navaden"/>
    <w:rPr>
      <w:i/>
      <w:iCs/>
      <w:kern w:val="24"/>
    </w:rPr>
  </w:style>
  <w:style w:type="paragraph" w:customStyle="1" w:styleId="OK">
    <w:name w:val="OK"/>
    <w:basedOn w:val="Navaden"/>
    <w:next w:val="Navaden"/>
  </w:style>
  <w:style w:type="character" w:customStyle="1" w:styleId="MoZnak1">
    <w:name w:val="Mo Znak1"/>
    <w:link w:val="Mo"/>
    <w:locked/>
    <w:rPr>
      <w:rFonts w:ascii="Arial" w:eastAsia="Times New Roman" w:hAnsi="Arial" w:cs="Arial"/>
      <w:sz w:val="24"/>
      <w:szCs w:val="24"/>
      <w:lang w:eastAsia="sl-SI"/>
    </w:rPr>
  </w:style>
  <w:style w:type="character" w:customStyle="1" w:styleId="MRZnak">
    <w:name w:val="MR Znak"/>
    <w:link w:val="MR"/>
    <w:locked/>
    <w:rPr>
      <w:rFonts w:ascii="Arial" w:eastAsia="Times New Roman" w:hAnsi="Arial" w:cs="Arial"/>
      <w:color w:val="FF00FF"/>
      <w:sz w:val="24"/>
      <w:szCs w:val="24"/>
      <w:lang w:eastAsia="sl-SI"/>
    </w:rPr>
  </w:style>
  <w:style w:type="paragraph" w:customStyle="1" w:styleId="SlogRNLevo">
    <w:name w:val="Slog RN + Levo"/>
    <w:basedOn w:val="RN"/>
    <w:rPr>
      <w:bCs w:val="0"/>
    </w:rPr>
  </w:style>
  <w:style w:type="paragraph" w:customStyle="1" w:styleId="Vitanjan">
    <w:name w:val="Vitanjčan"/>
    <w:qFormat/>
    <w:pPr>
      <w:spacing w:after="0" w:line="340" w:lineRule="exact"/>
      <w:jc w:val="both"/>
    </w:pPr>
    <w:rPr>
      <w:rFonts w:ascii="Arial" w:hAnsi="Arial" w:cs="Arial"/>
      <w:bCs/>
      <w:sz w:val="24"/>
      <w:szCs w:val="24"/>
    </w:rPr>
  </w:style>
  <w:style w:type="paragraph" w:styleId="Naslovnaslovnika">
    <w:name w:val="envelope address"/>
    <w:basedOn w:val="Navaden"/>
    <w:pPr>
      <w:framePr w:w="7920" w:h="1980" w:hRule="exact" w:hSpace="141" w:wrap="auto" w:hAnchor="page" w:xAlign="center" w:yAlign="bottom"/>
      <w:ind w:left="2880"/>
    </w:pPr>
    <w:rPr>
      <w:rFonts w:ascii="Monotype Corsiva" w:eastAsia="Times New Roman" w:hAnsi="Monotype Corsiva" w:cs="Arial"/>
      <w:i/>
      <w:color w:val="003366"/>
      <w:sz w:val="32"/>
      <w:szCs w:val="32"/>
    </w:rPr>
  </w:style>
  <w:style w:type="character" w:customStyle="1" w:styleId="UnresolvedMention">
    <w:name w:val="Unresolved Mention"/>
    <w:uiPriority w:val="99"/>
    <w:semiHidden/>
    <w:unhideWhenUsed/>
    <w:rPr>
      <w:color w:val="605E5C"/>
      <w:shd w:val="clear" w:color="auto" w:fill="E1DFDD"/>
    </w:rPr>
  </w:style>
  <w:style w:type="paragraph" w:styleId="Revizija">
    <w:name w:val="Revision"/>
    <w:hidden/>
    <w:uiPriority w:val="99"/>
    <w:semiHidden/>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9ffa4e4-5831-41d0-99f0-143beb6195ed">
      <Terms xmlns="http://schemas.microsoft.com/office/infopath/2007/PartnerControls"/>
    </lcf76f155ced4ddcb4097134ff3c332f>
    <_Flow_SignoffStatus xmlns="19ffa4e4-5831-41d0-99f0-143beb6195ed" xsi:nil="true"/>
    <TaxKeywordTaxHTField xmlns="4dad500a-d178-4f10-a644-6ebb79f2930e">
      <Terms xmlns="http://schemas.microsoft.com/office/infopath/2007/PartnerControls"/>
    </TaxKeywordTaxHTField>
    <TaxCatchAll xmlns="4dad500a-d178-4f10-a644-6ebb79f2930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F7E3F8D9B966441B8FEA0F01D9001CB" ma:contentTypeVersion="23" ma:contentTypeDescription="Ustvari nov dokument." ma:contentTypeScope="" ma:versionID="6eb3ca223cc44e849c611cbf85372575">
  <xsd:schema xmlns:xsd="http://www.w3.org/2001/XMLSchema" xmlns:xs="http://www.w3.org/2001/XMLSchema" xmlns:p="http://schemas.microsoft.com/office/2006/metadata/properties" xmlns:ns2="19ffa4e4-5831-41d0-99f0-143beb6195ed" xmlns:ns3="4dad500a-d178-4f10-a644-6ebb79f2930e" targetNamespace="http://schemas.microsoft.com/office/2006/metadata/properties" ma:root="true" ma:fieldsID="4bf5294a14d840e52a3c4d297b4a9eb7" ns2:_="" ns3:_="">
    <xsd:import namespace="19ffa4e4-5831-41d0-99f0-143beb6195ed"/>
    <xsd:import namespace="4dad500a-d178-4f10-a644-6ebb79f293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_Flow_SignoffStatus" minOccurs="0"/>
                <xsd:element ref="ns3:TaxKeywordTaxHTField" minOccurs="0"/>
                <xsd:element ref="ns3:TaxCatchAll" minOccurs="0"/>
                <xsd:element ref="ns2:MediaServiceLocation"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fa4e4-5831-41d0-99f0-143beb6195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Flow_SignoffStatus" ma:index="19" nillable="true" ma:displayName="Stanje odjave" ma:internalName="Stanje_x0020_odjav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Oznake slike" ma:readOnly="false" ma:fieldId="{5cf76f15-5ced-4ddc-b409-7134ff3c332f}" ma:taxonomyMulti="true" ma:sspId="6fad2deb-cbea-4c29-b461-155e604940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ad500a-d178-4f10-a644-6ebb79f2930e"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TaxKeywordTaxHTField" ma:index="21" nillable="true" ma:taxonomy="true" ma:internalName="TaxKeywordTaxHTField" ma:taxonomyFieldName="TaxKeyword" ma:displayName="Ključne besede za podjetje" ma:fieldId="{23f27201-bee3-471e-b2e7-b64fd8b7ca38}" ma:taxonomyMulti="true" ma:sspId="6fad2deb-cbea-4c29-b461-155e6049408d" ma:termSetId="00000000-0000-0000-0000-000000000000" ma:anchorId="00000000-0000-0000-0000-000000000000" ma:open="true" ma:isKeyword="true">
      <xsd:complexType>
        <xsd:sequence>
          <xsd:element ref="pc:Terms" minOccurs="0" maxOccurs="1"/>
        </xsd:sequence>
      </xsd:complexType>
    </xsd:element>
    <xsd:element name="TaxCatchAll" ma:index="22" nillable="true" ma:displayName="Taxonomy Catch All Column" ma:hidden="true" ma:list="{82522ceb-99ed-42ef-89c1-440ce07b9290}" ma:internalName="TaxCatchAll" ma:showField="CatchAllData" ma:web="4dad500a-d178-4f10-a644-6ebb79f293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5FF9D-B992-4E29-84FF-9807F60B9BEE}">
  <ds:schemaRefs>
    <ds:schemaRef ds:uri="http://purl.org/dc/elements/1.1/"/>
    <ds:schemaRef ds:uri="19ffa4e4-5831-41d0-99f0-143beb6195ed"/>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4dad500a-d178-4f10-a644-6ebb79f2930e"/>
    <ds:schemaRef ds:uri="http://www.w3.org/XML/1998/namespace"/>
    <ds:schemaRef ds:uri="http://purl.org/dc/terms/"/>
  </ds:schemaRefs>
</ds:datastoreItem>
</file>

<file path=customXml/itemProps2.xml><?xml version="1.0" encoding="utf-8"?>
<ds:datastoreItem xmlns:ds="http://schemas.openxmlformats.org/officeDocument/2006/customXml" ds:itemID="{52BFBC30-A8C6-4A54-BCD1-30CAB4351C1C}">
  <ds:schemaRefs>
    <ds:schemaRef ds:uri="http://schemas.microsoft.com/sharepoint/v3/contenttype/forms"/>
  </ds:schemaRefs>
</ds:datastoreItem>
</file>

<file path=customXml/itemProps3.xml><?xml version="1.0" encoding="utf-8"?>
<ds:datastoreItem xmlns:ds="http://schemas.openxmlformats.org/officeDocument/2006/customXml" ds:itemID="{69B8A2F4-C74B-4845-B3D1-A1ED5431F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fa4e4-5831-41d0-99f0-143beb6195ed"/>
    <ds:schemaRef ds:uri="4dad500a-d178-4f10-a644-6ebb79f293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883F3-0804-4834-9843-9DE2E201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760</Words>
  <Characters>4335</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HPCompaq</dc:creator>
  <cp:lastModifiedBy>Ivica Žerdoner</cp:lastModifiedBy>
  <cp:revision>3</cp:revision>
  <cp:lastPrinted>2014-03-25T11:43:00Z</cp:lastPrinted>
  <dcterms:created xsi:type="dcterms:W3CDTF">2026-03-12T12:47:00Z</dcterms:created>
  <dcterms:modified xsi:type="dcterms:W3CDTF">2026-03-31T12:09:00Z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0x0101003F7E3F8D9B966441B8FEA0F01D9001CB</vt:lpwstr>
  </property>
  <property fmtid="{D5CDD505-2E9C-101B-9397-08002B2CF9AE}" pid="3" name="TaxKeyword">
    <vt:lpwstr/>
  </property>
  <property fmtid="{D5CDD505-2E9C-101B-9397-08002B2CF9AE}" pid="4" name="MediaServiceImageTags">
    <vt:lpwstr/>
  </property>
</Properties>
</file>